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2F1E5A">
      <w:pPr>
        <w:pStyle w:val="16"/>
        <w:widowControl/>
        <w:adjustRightInd w:val="0"/>
        <w:snapToGrid w:val="0"/>
        <w:spacing w:beforeAutospacing="0" w:afterAutospacing="0" w:line="580" w:lineRule="exact"/>
        <w:textAlignment w:val="baseline"/>
        <w:rPr>
          <w:rFonts w:hint="default" w:ascii="Times New Roman" w:hAnsi="Times New Roman" w:eastAsia="黑体" w:cs="Times New Roman"/>
          <w:b/>
          <w:sz w:val="32"/>
          <w:szCs w:val="32"/>
        </w:rPr>
      </w:pPr>
      <w:r>
        <w:rPr>
          <w:rFonts w:hint="default" w:ascii="Times New Roman" w:hAnsi="Times New Roman" w:eastAsia="黑体" w:cs="Times New Roman"/>
          <w:b/>
          <w:sz w:val="32"/>
          <w:szCs w:val="32"/>
        </w:rPr>
        <w:t>附件3</w:t>
      </w:r>
    </w:p>
    <w:p w14:paraId="3A0BB9D2">
      <w:pPr>
        <w:pStyle w:val="16"/>
        <w:widowControl/>
        <w:adjustRightInd w:val="0"/>
        <w:snapToGrid w:val="0"/>
        <w:spacing w:beforeAutospacing="0" w:afterAutospacing="0" w:line="580" w:lineRule="exact"/>
        <w:ind w:firstLine="883"/>
        <w:jc w:val="center"/>
        <w:textAlignment w:val="baseline"/>
        <w:rPr>
          <w:rStyle w:val="20"/>
          <w:rFonts w:hint="default" w:ascii="Times New Roman" w:hAnsi="Times New Roman" w:eastAsia="方正小标宋简体" w:cs="Times New Roman"/>
          <w:sz w:val="44"/>
          <w:szCs w:val="44"/>
        </w:rPr>
      </w:pPr>
      <w:r>
        <w:rPr>
          <w:rStyle w:val="20"/>
          <w:rFonts w:hint="default" w:ascii="Times New Roman" w:hAnsi="Times New Roman" w:eastAsia="方正小标宋简体" w:cs="Times New Roman"/>
          <w:sz w:val="44"/>
          <w:szCs w:val="44"/>
        </w:rPr>
        <w:t>投标文件内容</w:t>
      </w:r>
    </w:p>
    <w:p w14:paraId="4322D551">
      <w:pPr>
        <w:pStyle w:val="16"/>
        <w:widowControl/>
        <w:adjustRightInd w:val="0"/>
        <w:snapToGrid w:val="0"/>
        <w:spacing w:beforeAutospacing="0" w:afterAutospacing="0" w:line="580" w:lineRule="exact"/>
        <w:ind w:firstLine="643"/>
        <w:jc w:val="center"/>
        <w:textAlignment w:val="baseline"/>
        <w:rPr>
          <w:rStyle w:val="20"/>
          <w:rFonts w:hint="default" w:ascii="Times New Roman" w:hAnsi="Times New Roman" w:eastAsia="仿宋_GB2312" w:cs="Times New Roman"/>
          <w:sz w:val="32"/>
          <w:szCs w:val="32"/>
        </w:rPr>
      </w:pPr>
    </w:p>
    <w:p w14:paraId="768A6B68">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黑体" w:cs="Times New Roman"/>
          <w:sz w:val="32"/>
          <w:szCs w:val="32"/>
        </w:rPr>
      </w:pPr>
      <w:r>
        <w:rPr>
          <w:rStyle w:val="20"/>
          <w:rFonts w:hint="default" w:ascii="Times New Roman" w:hAnsi="Times New Roman" w:eastAsia="黑体" w:cs="Times New Roman"/>
          <w:sz w:val="32"/>
          <w:szCs w:val="32"/>
        </w:rPr>
        <w:t>一、投标报价</w:t>
      </w:r>
    </w:p>
    <w:p w14:paraId="712EDDD5">
      <w:pPr>
        <w:pStyle w:val="16"/>
        <w:widowControl/>
        <w:adjustRightInd w:val="0"/>
        <w:snapToGrid w:val="0"/>
        <w:spacing w:beforeAutospacing="0" w:afterAutospacing="0" w:line="580" w:lineRule="exact"/>
        <w:ind w:firstLine="640" w:firstLineChars="200"/>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投标人报价年化承销费率均不得超过0.3%/年。</w:t>
      </w:r>
    </w:p>
    <w:p w14:paraId="6A299430">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黑体" w:cs="Times New Roman"/>
          <w:sz w:val="32"/>
          <w:szCs w:val="32"/>
        </w:rPr>
      </w:pPr>
      <w:r>
        <w:rPr>
          <w:rStyle w:val="20"/>
          <w:rFonts w:hint="default" w:ascii="Times New Roman" w:hAnsi="Times New Roman" w:eastAsia="黑体" w:cs="Times New Roman"/>
          <w:sz w:val="32"/>
          <w:szCs w:val="32"/>
        </w:rPr>
        <w:t>二、证监会分类等级</w:t>
      </w:r>
    </w:p>
    <w:p w14:paraId="7DB6E108">
      <w:pPr>
        <w:pStyle w:val="16"/>
        <w:widowControl/>
        <w:adjustRightInd w:val="0"/>
        <w:snapToGrid w:val="0"/>
        <w:spacing w:beforeAutospacing="0" w:afterAutospacing="0" w:line="580" w:lineRule="exact"/>
        <w:ind w:firstLine="640" w:firstLineChars="200"/>
        <w:jc w:val="both"/>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投标人需提供分类结果函或分类结果说明并加盖公章。</w:t>
      </w:r>
    </w:p>
    <w:p w14:paraId="35B1E18B">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黑体" w:cs="Times New Roman"/>
          <w:sz w:val="32"/>
          <w:szCs w:val="32"/>
        </w:rPr>
      </w:pPr>
      <w:r>
        <w:rPr>
          <w:rStyle w:val="20"/>
          <w:rFonts w:hint="default" w:ascii="Times New Roman" w:hAnsi="Times New Roman" w:eastAsia="黑体" w:cs="Times New Roman"/>
          <w:sz w:val="32"/>
          <w:szCs w:val="32"/>
        </w:rPr>
        <w:t>三、综合实力</w:t>
      </w:r>
      <w:bookmarkStart w:id="0" w:name="_GoBack"/>
      <w:bookmarkEnd w:id="0"/>
    </w:p>
    <w:p w14:paraId="2A9C6A70">
      <w:pPr>
        <w:pStyle w:val="16"/>
        <w:widowControl/>
        <w:adjustRightInd w:val="0"/>
        <w:snapToGrid w:val="0"/>
        <w:spacing w:beforeAutospacing="0" w:afterAutospacing="0" w:line="580" w:lineRule="exact"/>
        <w:ind w:firstLine="640" w:firstLineChars="200"/>
        <w:jc w:val="both"/>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投标人提供2024年末合并报表范围口径净资产规模，请提供投标人2024年经审计的财务报告相关页面并加盖投标人公章。</w:t>
      </w:r>
    </w:p>
    <w:p w14:paraId="6DEB283A">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黑体" w:cs="Times New Roman"/>
          <w:sz w:val="32"/>
          <w:szCs w:val="32"/>
        </w:rPr>
      </w:pPr>
      <w:r>
        <w:rPr>
          <w:rStyle w:val="20"/>
          <w:rFonts w:hint="default" w:ascii="Times New Roman" w:hAnsi="Times New Roman" w:eastAsia="黑体" w:cs="Times New Roman"/>
          <w:sz w:val="32"/>
          <w:szCs w:val="32"/>
        </w:rPr>
        <w:t>四、承销实力</w:t>
      </w:r>
    </w:p>
    <w:p w14:paraId="58FE4E10">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楷体_GB2312" w:cs="Times New Roman"/>
          <w:bCs/>
          <w:sz w:val="32"/>
          <w:szCs w:val="32"/>
        </w:rPr>
      </w:pPr>
      <w:r>
        <w:rPr>
          <w:rStyle w:val="20"/>
          <w:rFonts w:hint="default" w:ascii="Times New Roman" w:hAnsi="Times New Roman" w:eastAsia="楷体_GB2312" w:cs="Times New Roman"/>
          <w:bCs/>
          <w:sz w:val="32"/>
          <w:szCs w:val="32"/>
        </w:rPr>
        <w:t>（一）全国公司债承销规模</w:t>
      </w:r>
    </w:p>
    <w:p w14:paraId="3E559B5E">
      <w:pPr>
        <w:pStyle w:val="16"/>
        <w:widowControl/>
        <w:adjustRightInd w:val="0"/>
        <w:snapToGrid w:val="0"/>
        <w:spacing w:beforeAutospacing="0" w:afterAutospacing="0" w:line="580" w:lineRule="exact"/>
        <w:ind w:firstLine="640" w:firstLineChars="200"/>
        <w:jc w:val="both"/>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根据Wind全国范围内公司债券承销数据库承销规模统计结果出具查询截图并加盖投标人单位公章。具体口径为：（Wind-债券专题-一级市场-承销统计-债券承销排名（Wind口径）-任意区间2022年1月1日-2024年12月31日-机构类型“证券”-债券分类“公司债”-概念板块不勾选-上市地点“全部市场”-期限“全部”-主体评级“全部”-企业性质全部勾选-地域分类“全国”-主体口径“穿透信用主体”-“按地方债细分”、“包括自主自办发行”、“剔除无实际承销主承”均不勾选-合并母子公司）</w:t>
      </w:r>
    </w:p>
    <w:p w14:paraId="03A24AB5">
      <w:pPr>
        <w:pStyle w:val="16"/>
        <w:widowControl/>
        <w:adjustRightInd w:val="0"/>
        <w:snapToGrid w:val="0"/>
        <w:spacing w:beforeAutospacing="0" w:afterAutospacing="0" w:line="580" w:lineRule="exact"/>
        <w:ind w:firstLine="640" w:firstLineChars="200"/>
        <w:jc w:val="both"/>
        <w:textAlignment w:val="baseline"/>
        <w:rPr>
          <w:rStyle w:val="20"/>
          <w:rFonts w:hint="default" w:ascii="Times New Roman" w:hAnsi="Times New Roman" w:eastAsia="仿宋_GB2312" w:cs="Times New Roman"/>
          <w:b w:val="0"/>
          <w:bCs/>
          <w:sz w:val="32"/>
          <w:szCs w:val="32"/>
        </w:rPr>
      </w:pPr>
    </w:p>
    <w:p w14:paraId="374F4C3B">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楷体_GB2312" w:cs="Times New Roman"/>
          <w:bCs/>
          <w:sz w:val="32"/>
          <w:szCs w:val="32"/>
        </w:rPr>
      </w:pPr>
      <w:r>
        <w:rPr>
          <w:rStyle w:val="20"/>
          <w:rFonts w:hint="default" w:ascii="Times New Roman" w:hAnsi="Times New Roman" w:eastAsia="楷体_GB2312" w:cs="Times New Roman"/>
          <w:bCs/>
          <w:sz w:val="32"/>
          <w:szCs w:val="32"/>
        </w:rPr>
        <w:t>（二）湖北区域信用债承销规模</w:t>
      </w:r>
    </w:p>
    <w:p w14:paraId="2A907409">
      <w:pPr>
        <w:pStyle w:val="16"/>
        <w:widowControl/>
        <w:adjustRightInd w:val="0"/>
        <w:snapToGrid w:val="0"/>
        <w:spacing w:beforeAutospacing="0" w:afterAutospacing="0" w:line="580" w:lineRule="exact"/>
        <w:ind w:firstLine="640" w:firstLineChars="200"/>
        <w:jc w:val="both"/>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根据Wind湖北区域非金融企业信用类债券承销数据统计结果出具查询截图并加盖投标人单位公章。具体口径为：Wind-债券专题-一级市场-承销统计-债券承销排名（Wind口径）-任意区间2022年1月1日-2024年12月31日-机构类型“证券”-债券分类“企业债、公司债、短期融资券、中期票据、定向工具、项目收益票据”-概念板块不勾选-上市地点“全部市场”-期限“全部”-主体评级“全部”-企业性质全部勾选-地域分类“湖北”-主体口径“穿透信用主体”-“按地方债细分”、“包括自主自办发行”、“剔除无实际承销主承”均不勾选-合并母子公司。</w:t>
      </w:r>
    </w:p>
    <w:p w14:paraId="1AEB1A0D">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楷体_GB2312" w:cs="Times New Roman"/>
          <w:bCs/>
          <w:sz w:val="32"/>
          <w:szCs w:val="32"/>
        </w:rPr>
      </w:pPr>
      <w:r>
        <w:rPr>
          <w:rStyle w:val="20"/>
          <w:rFonts w:hint="default" w:ascii="Times New Roman" w:hAnsi="Times New Roman" w:eastAsia="楷体_GB2312" w:cs="Times New Roman"/>
          <w:bCs/>
          <w:sz w:val="32"/>
          <w:szCs w:val="32"/>
        </w:rPr>
        <w:t>（三）同评级信用债承销能力</w:t>
      </w:r>
    </w:p>
    <w:p w14:paraId="3334C311">
      <w:pPr>
        <w:pStyle w:val="16"/>
        <w:widowControl/>
        <w:adjustRightInd w:val="0"/>
        <w:snapToGrid w:val="0"/>
        <w:spacing w:beforeAutospacing="0" w:afterAutospacing="0" w:line="580" w:lineRule="exact"/>
        <w:ind w:firstLine="640" w:firstLineChars="200"/>
        <w:jc w:val="both"/>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根据Wind湖北区域与招标人主体信用评级相同（AA+）的债券承销能力统计结果出具查询结果并加盖公章。具体口径为：Wind-债券专题-一级市场-承销统计-债券承销排名（Wind口径）-任意区间2022年1月1日-2024年12月31日-机构类型“证券”-债券分类“企业债、公司债、短期融资券、中期票据、定向工具、项目收益票据”-概念板块不勾选-上市地点“全部市场”-期限“全部”-主体评级“AA+”-企业性质全部勾选-地域分类“湖北”-主体口径“穿透信用主体”-“按地方债细分”、“包括自主自办发行”、“剔除无实际承销主承”均不勾选-合并母子公司</w:t>
      </w:r>
    </w:p>
    <w:p w14:paraId="397A114C">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黑体" w:cs="Times New Roman"/>
          <w:sz w:val="32"/>
          <w:szCs w:val="32"/>
        </w:rPr>
      </w:pPr>
      <w:r>
        <w:rPr>
          <w:rStyle w:val="20"/>
          <w:rFonts w:hint="default" w:ascii="Times New Roman" w:hAnsi="Times New Roman" w:eastAsia="黑体" w:cs="Times New Roman"/>
          <w:sz w:val="32"/>
          <w:szCs w:val="32"/>
        </w:rPr>
        <w:t>五、本次债券发行服务方案</w:t>
      </w:r>
    </w:p>
    <w:p w14:paraId="2C072346">
      <w:pPr>
        <w:pStyle w:val="16"/>
        <w:widowControl/>
        <w:adjustRightInd w:val="0"/>
        <w:snapToGrid w:val="0"/>
        <w:spacing w:beforeAutospacing="0" w:afterAutospacing="0" w:line="580" w:lineRule="exact"/>
        <w:ind w:firstLine="643" w:firstLineChars="200"/>
        <w:textAlignment w:val="baseline"/>
        <w:rPr>
          <w:rStyle w:val="20"/>
          <w:rFonts w:hint="default" w:ascii="Times New Roman" w:hAnsi="Times New Roman" w:eastAsia="黑体" w:cs="Times New Roman"/>
          <w:sz w:val="32"/>
          <w:szCs w:val="32"/>
        </w:rPr>
      </w:pPr>
      <w:r>
        <w:rPr>
          <w:rStyle w:val="20"/>
          <w:rFonts w:hint="default" w:ascii="Times New Roman" w:hAnsi="Times New Roman" w:eastAsia="黑体" w:cs="Times New Roman"/>
          <w:sz w:val="32"/>
          <w:szCs w:val="32"/>
        </w:rPr>
        <w:t>六、服务团队</w:t>
      </w:r>
    </w:p>
    <w:p w14:paraId="388B6232">
      <w:pPr>
        <w:pStyle w:val="16"/>
        <w:widowControl/>
        <w:adjustRightInd w:val="0"/>
        <w:snapToGrid w:val="0"/>
        <w:spacing w:beforeAutospacing="0" w:afterAutospacing="0" w:line="580" w:lineRule="exact"/>
        <w:ind w:firstLine="640" w:firstLineChars="200"/>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项目负责人及项目团队成员从业经验及职责分工情况。</w:t>
      </w:r>
    </w:p>
    <w:p w14:paraId="6346716E">
      <w:pPr>
        <w:pStyle w:val="16"/>
        <w:widowControl/>
        <w:adjustRightInd w:val="0"/>
        <w:snapToGrid w:val="0"/>
        <w:spacing w:beforeAutospacing="0" w:afterAutospacing="0" w:line="580" w:lineRule="exact"/>
        <w:ind w:firstLine="640" w:firstLineChars="200"/>
        <w:textAlignment w:val="baseline"/>
        <w:rPr>
          <w:rStyle w:val="20"/>
          <w:rFonts w:hint="default" w:ascii="Times New Roman" w:hAnsi="Times New Roman" w:eastAsia="仿宋_GB2312" w:cs="Times New Roman"/>
          <w:b w:val="0"/>
          <w:bCs/>
          <w:sz w:val="32"/>
          <w:szCs w:val="32"/>
        </w:rPr>
      </w:pPr>
      <w:r>
        <w:rPr>
          <w:rStyle w:val="20"/>
          <w:rFonts w:hint="default" w:ascii="Times New Roman" w:hAnsi="Times New Roman" w:eastAsia="仿宋_GB2312" w:cs="Times New Roman"/>
          <w:b w:val="0"/>
          <w:bCs/>
          <w:sz w:val="32"/>
          <w:szCs w:val="32"/>
        </w:rPr>
        <w:t>注：以联合体形式参与评选的，应以联合体牵头方指标作为评选依据，由联合体牵头方提供上述评分资料。</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DFDB0">
    <w:pPr>
      <w:pStyle w:val="13"/>
    </w:pPr>
    <w:r>
      <w:pict>
        <v:shape id="WordPictureWatermark6" o:spid="_x0000_s4097" o:spt="75" type="#_x0000_t75" style="position:absolute;left:0pt;margin-left:0pt;margin-top:0pt;height:0pt;width:0pt;z-index:-251657216;mso-width-relative:page;mso-height-relative:page;" filled="f" o:preferrelative="t" stroked="f" coordsize="21600,21600" o:allowincell="f">
          <v:path/>
          <v:fill on="f" focussize="0,0"/>
          <v:stroke on="f" joinstyle="miter"/>
          <v:imagedata o:title=""/>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1E2CC6"/>
    <w:multiLevelType w:val="multilevel"/>
    <w:tmpl w:val="211E2CC6"/>
    <w:lvl w:ilvl="0" w:tentative="0">
      <w:start w:val="1"/>
      <w:numFmt w:val="chineseCounting"/>
      <w:pStyle w:val="2"/>
      <w:suff w:val="space"/>
      <w:lvlText w:val="第%1节"/>
      <w:lvlJc w:val="left"/>
      <w:pPr>
        <w:tabs>
          <w:tab w:val="left" w:pos="0"/>
        </w:tabs>
        <w:ind w:left="0" w:firstLine="0"/>
      </w:pPr>
      <w:rPr>
        <w:rFonts w:hint="eastAsia" w:ascii="黑体" w:hAnsi="黑体" w:eastAsia="黑体"/>
        <w:b w:val="0"/>
        <w:i w:val="0"/>
        <w:sz w:val="32"/>
      </w:rPr>
    </w:lvl>
    <w:lvl w:ilvl="1" w:tentative="0">
      <w:start w:val="1"/>
      <w:numFmt w:val="chineseCounting"/>
      <w:suff w:val="nothing"/>
      <w:lvlText w:val="%2、"/>
      <w:lvlJc w:val="left"/>
      <w:pPr>
        <w:tabs>
          <w:tab w:val="left" w:pos="0"/>
        </w:tabs>
        <w:ind w:left="0" w:firstLine="0"/>
      </w:pPr>
      <w:rPr>
        <w:rFonts w:hint="default"/>
        <w:b w:val="0"/>
        <w:i w:val="0"/>
        <w:sz w:val="28"/>
      </w:rPr>
    </w:lvl>
    <w:lvl w:ilvl="2" w:tentative="0">
      <w:start w:val="1"/>
      <w:numFmt w:val="chineseCounting"/>
      <w:pStyle w:val="5"/>
      <w:suff w:val="nothing"/>
      <w:lvlText w:val="（%3）"/>
      <w:lvlJc w:val="left"/>
      <w:pPr>
        <w:tabs>
          <w:tab w:val="left" w:pos="0"/>
        </w:tabs>
        <w:ind w:left="0" w:firstLine="0"/>
      </w:pPr>
      <w:rPr>
        <w:rFonts w:hint="default" w:ascii="Times New Roman" w:hAnsi="Times New Roman" w:cs="Times New Roman"/>
        <w:b w:val="0"/>
        <w:bCs w:val="0"/>
        <w:i w:val="0"/>
        <w:iCs w:val="0"/>
        <w:caps w:val="0"/>
        <w:smallCaps w:val="0"/>
        <w:strike w:val="0"/>
        <w:dstrike w:val="0"/>
        <w:outline w:val="0"/>
        <w:shadow w:val="0"/>
        <w:emboss w:val="0"/>
        <w:imprint w:val="0"/>
        <w:vanish w:val="0"/>
        <w:spacing w:val="0"/>
        <w:position w:val="0"/>
        <w:sz w:val="24"/>
        <w:u w:val="none"/>
        <w:vertAlign w:val="baseline"/>
      </w:rPr>
    </w:lvl>
    <w:lvl w:ilvl="3" w:tentative="0">
      <w:start w:val="1"/>
      <w:numFmt w:val="decimal"/>
      <w:pStyle w:val="6"/>
      <w:suff w:val="nothing"/>
      <w:lvlText w:val="%4、"/>
      <w:lvlJc w:val="left"/>
      <w:pPr>
        <w:tabs>
          <w:tab w:val="left" w:pos="0"/>
        </w:tabs>
        <w:ind w:left="0" w:firstLine="0"/>
      </w:pPr>
      <w:rPr>
        <w:rFonts w:hint="default" w:ascii="Times New Roman" w:hAnsi="Times New Roman" w:cs="Times New Roman"/>
        <w:b/>
        <w:i w:val="0"/>
        <w:sz w:val="24"/>
      </w:rPr>
    </w:lvl>
    <w:lvl w:ilvl="4" w:tentative="0">
      <w:start w:val="1"/>
      <w:numFmt w:val="decimal"/>
      <w:pStyle w:val="7"/>
      <w:suff w:val="nothing"/>
      <w:lvlText w:val="（%5）"/>
      <w:lvlJc w:val="left"/>
      <w:pPr>
        <w:tabs>
          <w:tab w:val="left" w:pos="0"/>
        </w:tabs>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rPr>
    </w:lvl>
    <w:lvl w:ilvl="5" w:tentative="0">
      <w:start w:val="1"/>
      <w:numFmt w:val="decimal"/>
      <w:pStyle w:val="8"/>
      <w:suff w:val="nothing"/>
      <w:lvlText w:val="%6）"/>
      <w:lvlJc w:val="left"/>
      <w:pPr>
        <w:tabs>
          <w:tab w:val="left" w:pos="0"/>
        </w:tabs>
        <w:ind w:left="0" w:firstLine="0"/>
      </w:pPr>
      <w:rPr>
        <w:rFonts w:hint="default" w:ascii="Times New Roman" w:hAnsi="Times New Roman" w:cs="Times New Roman"/>
        <w:b w:val="0"/>
        <w:i w:val="0"/>
        <w:sz w:val="24"/>
        <w:u w:val="none"/>
      </w:rPr>
    </w:lvl>
    <w:lvl w:ilvl="6" w:tentative="0">
      <w:start w:val="1"/>
      <w:numFmt w:val="decimalEnclosedCircle"/>
      <w:pStyle w:val="9"/>
      <w:suff w:val="nothing"/>
      <w:lvlText w:val="%7"/>
      <w:lvlJc w:val="left"/>
      <w:pPr>
        <w:tabs>
          <w:tab w:val="left" w:pos="0"/>
        </w:tabs>
        <w:ind w:left="0" w:firstLine="0"/>
      </w:pPr>
      <w:rPr>
        <w:rFonts w:hint="default" w:ascii="Times New Roman" w:hAnsi="Times New Roman" w:cs="Times New Roman"/>
        <w:b w:val="0"/>
        <w:i w:val="0"/>
        <w:sz w:val="24"/>
      </w:rPr>
    </w:lvl>
    <w:lvl w:ilvl="7" w:tentative="0">
      <w:start w:val="1"/>
      <w:numFmt w:val="decimal"/>
      <w:lvlText w:val="%1.%2.%3.%4.%5.%6.%7.%8"/>
      <w:lvlJc w:val="left"/>
      <w:pPr>
        <w:tabs>
          <w:tab w:val="left" w:pos="0"/>
        </w:tabs>
        <w:ind w:left="4394" w:hanging="1418"/>
      </w:pPr>
      <w:rPr>
        <w:rFonts w:hint="eastAsia"/>
      </w:rPr>
    </w:lvl>
    <w:lvl w:ilvl="8" w:tentative="0">
      <w:start w:val="1"/>
      <w:numFmt w:val="decimal"/>
      <w:lvlText w:val="%1.%2.%3.%4.%5.%6.%7.%8.%9"/>
      <w:lvlJc w:val="left"/>
      <w:pPr>
        <w:tabs>
          <w:tab w:val="left" w:pos="0"/>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YzOWJjMDBlYzU2YmYzNWMwZmEyOGIyNWI4ZjUxMjIifQ=="/>
  </w:docVars>
  <w:rsids>
    <w:rsidRoot w:val="009A1CF6"/>
    <w:rsid w:val="000B2D0D"/>
    <w:rsid w:val="001737D2"/>
    <w:rsid w:val="00377A00"/>
    <w:rsid w:val="005124EA"/>
    <w:rsid w:val="005476B9"/>
    <w:rsid w:val="005616EB"/>
    <w:rsid w:val="0059491E"/>
    <w:rsid w:val="008A7E68"/>
    <w:rsid w:val="00992EEA"/>
    <w:rsid w:val="009A1CF6"/>
    <w:rsid w:val="00A9112D"/>
    <w:rsid w:val="00B90894"/>
    <w:rsid w:val="00DC3CFB"/>
    <w:rsid w:val="00E13BF9"/>
    <w:rsid w:val="00EA32EA"/>
    <w:rsid w:val="00EC34CB"/>
    <w:rsid w:val="00F56BE8"/>
    <w:rsid w:val="03C36223"/>
    <w:rsid w:val="5509621E"/>
    <w:rsid w:val="5E250B00"/>
    <w:rsid w:val="62762D19"/>
    <w:rsid w:val="69E40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Arial"/>
      <w:kern w:val="2"/>
      <w:sz w:val="21"/>
      <w:szCs w:val="21"/>
      <w:lang w:val="en-US" w:eastAsia="zh-CN" w:bidi="ar-SA"/>
    </w:rPr>
  </w:style>
  <w:style w:type="paragraph" w:styleId="2">
    <w:name w:val="heading 1"/>
    <w:next w:val="3"/>
    <w:autoRedefine/>
    <w:qFormat/>
    <w:uiPriority w:val="0"/>
    <w:pPr>
      <w:keepNext/>
      <w:keepLines/>
      <w:pageBreakBefore/>
      <w:numPr>
        <w:ilvl w:val="0"/>
        <w:numId w:val="1"/>
      </w:numPr>
      <w:spacing w:before="50" w:beforeLines="50" w:after="50" w:afterLines="50" w:line="360" w:lineRule="auto"/>
      <w:jc w:val="center"/>
      <w:outlineLvl w:val="0"/>
    </w:pPr>
    <w:rPr>
      <w:rFonts w:ascii="Times New Roman" w:hAnsi="Times New Roman" w:eastAsia="黑体" w:cs="Times New Roman"/>
      <w:bCs/>
      <w:sz w:val="32"/>
      <w:szCs w:val="44"/>
      <w:lang w:val="en-US" w:eastAsia="zh-CN" w:bidi="ar-SA"/>
    </w:rPr>
  </w:style>
  <w:style w:type="paragraph" w:styleId="4">
    <w:name w:val="heading 2"/>
    <w:basedOn w:val="1"/>
    <w:next w:val="3"/>
    <w:autoRedefine/>
    <w:uiPriority w:val="0"/>
    <w:pPr>
      <w:spacing w:beforeAutospacing="1" w:afterAutospacing="1"/>
      <w:jc w:val="left"/>
      <w:outlineLvl w:val="1"/>
    </w:pPr>
    <w:rPr>
      <w:rFonts w:ascii="宋体" w:cs="Times New Roman"/>
      <w:b/>
      <w:bCs/>
      <w:kern w:val="0"/>
      <w:sz w:val="36"/>
      <w:szCs w:val="36"/>
    </w:rPr>
  </w:style>
  <w:style w:type="paragraph" w:styleId="5">
    <w:name w:val="heading 3"/>
    <w:next w:val="3"/>
    <w:autoRedefine/>
    <w:uiPriority w:val="0"/>
    <w:pPr>
      <w:keepNext/>
      <w:keepLines/>
      <w:numPr>
        <w:ilvl w:val="2"/>
        <w:numId w:val="1"/>
      </w:numPr>
      <w:spacing w:before="50" w:beforeLines="50" w:after="50" w:afterLines="50" w:line="360" w:lineRule="auto"/>
      <w:jc w:val="both"/>
      <w:outlineLvl w:val="2"/>
    </w:pPr>
    <w:rPr>
      <w:rFonts w:ascii="Times New Roman" w:hAnsi="Times New Roman" w:eastAsia="黑体" w:cs="Times New Roman"/>
      <w:bCs/>
      <w:color w:val="000000"/>
      <w:sz w:val="24"/>
      <w:szCs w:val="24"/>
      <w:lang w:val="en-US" w:eastAsia="ar-SA" w:bidi="ar-SA"/>
    </w:rPr>
  </w:style>
  <w:style w:type="paragraph" w:styleId="6">
    <w:name w:val="heading 4"/>
    <w:next w:val="3"/>
    <w:autoRedefine/>
    <w:qFormat/>
    <w:uiPriority w:val="0"/>
    <w:pPr>
      <w:keepNext/>
      <w:keepLines/>
      <w:numPr>
        <w:ilvl w:val="3"/>
        <w:numId w:val="1"/>
      </w:numPr>
      <w:spacing w:before="50" w:beforeLines="50" w:after="50" w:afterLines="50" w:line="360" w:lineRule="auto"/>
      <w:jc w:val="both"/>
      <w:outlineLvl w:val="3"/>
    </w:pPr>
    <w:rPr>
      <w:rFonts w:ascii="Times New Roman" w:hAnsi="Times New Roman" w:eastAsia="宋体" w:cs="Times New Roman"/>
      <w:b/>
      <w:bCs/>
      <w:kern w:val="2"/>
      <w:sz w:val="24"/>
      <w:szCs w:val="28"/>
      <w:lang w:val="en-US" w:eastAsia="zh-CN" w:bidi="ar-SA"/>
    </w:rPr>
  </w:style>
  <w:style w:type="paragraph" w:styleId="7">
    <w:name w:val="heading 5"/>
    <w:next w:val="3"/>
    <w:autoRedefine/>
    <w:qFormat/>
    <w:uiPriority w:val="0"/>
    <w:pPr>
      <w:keepNext/>
      <w:keepLines/>
      <w:numPr>
        <w:ilvl w:val="4"/>
        <w:numId w:val="1"/>
      </w:numPr>
      <w:spacing w:before="50" w:beforeLines="50" w:after="50" w:afterLines="50" w:line="360" w:lineRule="auto"/>
      <w:ind w:firstLine="482"/>
      <w:outlineLvl w:val="4"/>
    </w:pPr>
    <w:rPr>
      <w:rFonts w:ascii="Times New Roman" w:hAnsi="Times New Roman" w:eastAsia="宋体" w:cs="Times New Roman"/>
      <w:bCs/>
      <w:kern w:val="2"/>
      <w:sz w:val="24"/>
      <w:szCs w:val="28"/>
      <w:lang w:val="en-US" w:eastAsia="zh-CN" w:bidi="ar-SA"/>
    </w:rPr>
  </w:style>
  <w:style w:type="paragraph" w:styleId="8">
    <w:name w:val="heading 6"/>
    <w:next w:val="3"/>
    <w:autoRedefine/>
    <w:qFormat/>
    <w:uiPriority w:val="0"/>
    <w:pPr>
      <w:numPr>
        <w:ilvl w:val="5"/>
        <w:numId w:val="1"/>
      </w:numPr>
      <w:spacing w:before="50" w:beforeLines="50" w:after="50" w:afterLines="50" w:line="360" w:lineRule="auto"/>
      <w:jc w:val="both"/>
      <w:outlineLvl w:val="5"/>
    </w:pPr>
    <w:rPr>
      <w:rFonts w:ascii="Times New Roman" w:hAnsi="Times New Roman" w:eastAsia="宋体" w:cs="Times New Roman"/>
      <w:bCs/>
      <w:kern w:val="2"/>
      <w:sz w:val="24"/>
      <w:szCs w:val="24"/>
      <w:lang w:val="en-US" w:eastAsia="zh-CN" w:bidi="ar-SA"/>
    </w:rPr>
  </w:style>
  <w:style w:type="paragraph" w:styleId="9">
    <w:name w:val="heading 7"/>
    <w:next w:val="3"/>
    <w:autoRedefine/>
    <w:qFormat/>
    <w:uiPriority w:val="0"/>
    <w:pPr>
      <w:keepNext/>
      <w:keepLines/>
      <w:numPr>
        <w:ilvl w:val="6"/>
        <w:numId w:val="1"/>
      </w:numPr>
      <w:spacing w:before="50" w:beforeLines="50" w:after="50" w:afterLines="50" w:line="360" w:lineRule="auto"/>
      <w:outlineLvl w:val="6"/>
    </w:pPr>
    <w:rPr>
      <w:rFonts w:ascii="Times New Roman" w:hAnsi="Times New Roman" w:eastAsia="宋体" w:cs="Times New Roman"/>
      <w:bCs/>
      <w:kern w:val="2"/>
      <w:sz w:val="24"/>
      <w:szCs w:val="24"/>
      <w:lang w:val="en-US" w:eastAsia="zh-CN" w:bidi="ar-SA"/>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3">
    <w:name w:val="Normal Indent"/>
    <w:autoRedefine/>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10">
    <w:name w:val="annotation text"/>
    <w:basedOn w:val="1"/>
    <w:autoRedefine/>
    <w:qFormat/>
    <w:uiPriority w:val="0"/>
    <w:pPr>
      <w:jc w:val="left"/>
    </w:pPr>
  </w:style>
  <w:style w:type="paragraph" w:styleId="11">
    <w:name w:val="toc 3"/>
    <w:basedOn w:val="1"/>
    <w:next w:val="1"/>
    <w:autoRedefine/>
    <w:qFormat/>
    <w:uiPriority w:val="0"/>
    <w:pPr>
      <w:ind w:left="400" w:leftChars="400"/>
    </w:pPr>
    <w:rPr>
      <w:rFonts w:ascii="Times New Roman" w:hAnsi="Times New Roman" w:eastAsia="黑体"/>
      <w:sz w:val="24"/>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tabs>
        <w:tab w:val="center" w:pos="4153"/>
        <w:tab w:val="right" w:pos="8306"/>
      </w:tabs>
      <w:snapToGrid w:val="0"/>
      <w:jc w:val="center"/>
    </w:pPr>
    <w:rPr>
      <w:sz w:val="18"/>
      <w:szCs w:val="18"/>
    </w:rPr>
  </w:style>
  <w:style w:type="paragraph" w:styleId="14">
    <w:name w:val="toc 1"/>
    <w:basedOn w:val="1"/>
    <w:next w:val="1"/>
    <w:autoRedefine/>
    <w:qFormat/>
    <w:uiPriority w:val="0"/>
    <w:rPr>
      <w:rFonts w:ascii="Times New Roman" w:hAnsi="Times New Roman" w:eastAsia="黑体"/>
      <w:sz w:val="24"/>
    </w:rPr>
  </w:style>
  <w:style w:type="paragraph" w:styleId="15">
    <w:name w:val="toc 2"/>
    <w:basedOn w:val="1"/>
    <w:next w:val="1"/>
    <w:autoRedefine/>
    <w:qFormat/>
    <w:uiPriority w:val="0"/>
    <w:pPr>
      <w:ind w:left="200" w:leftChars="200"/>
    </w:pPr>
    <w:rPr>
      <w:rFonts w:ascii="Times New Roman" w:hAnsi="Times New Roman" w:eastAsia="黑体"/>
      <w:sz w:val="24"/>
    </w:rPr>
  </w:style>
  <w:style w:type="paragraph" w:styleId="16">
    <w:name w:val="Normal (Web)"/>
    <w:basedOn w:val="1"/>
    <w:autoRedefine/>
    <w:qFormat/>
    <w:uiPriority w:val="0"/>
    <w:pPr>
      <w:spacing w:beforeAutospacing="1" w:afterAutospacing="1"/>
      <w:jc w:val="left"/>
    </w:pPr>
    <w:rPr>
      <w:rFonts w:cs="Times New Roman"/>
      <w:kern w:val="0"/>
      <w:sz w:val="24"/>
    </w:rPr>
  </w:style>
  <w:style w:type="paragraph" w:styleId="17">
    <w:name w:val="annotation subject"/>
    <w:basedOn w:val="10"/>
    <w:next w:val="10"/>
    <w:autoRedefine/>
    <w:qFormat/>
    <w:uiPriority w:val="0"/>
    <w:rPr>
      <w:b/>
      <w:bCs/>
    </w:rPr>
  </w:style>
  <w:style w:type="character" w:styleId="20">
    <w:name w:val="Strong"/>
    <w:basedOn w:val="19"/>
    <w:autoRedefine/>
    <w:qFormat/>
    <w:uiPriority w:val="0"/>
    <w:rPr>
      <w:b/>
    </w:rPr>
  </w:style>
  <w:style w:type="character" w:styleId="21">
    <w:name w:val="Hyperlink"/>
    <w:basedOn w:val="19"/>
    <w:autoRedefine/>
    <w:qFormat/>
    <w:uiPriority w:val="0"/>
    <w:rPr>
      <w:color w:val="0000FF"/>
      <w:u w:val="single"/>
    </w:rPr>
  </w:style>
  <w:style w:type="character" w:styleId="22">
    <w:name w:val="annotation reference"/>
    <w:basedOn w:val="19"/>
    <w:autoRedefine/>
    <w:qFormat/>
    <w:uiPriority w:val="0"/>
    <w:rPr>
      <w:sz w:val="21"/>
      <w:szCs w:val="21"/>
    </w:rPr>
  </w:style>
  <w:style w:type="paragraph" w:customStyle="1" w:styleId="23">
    <w:name w:val="表格后说明"/>
    <w:next w:val="3"/>
    <w:autoRedefine/>
    <w:qFormat/>
    <w:uiPriority w:val="0"/>
    <w:pPr>
      <w:jc w:val="both"/>
    </w:pPr>
    <w:rPr>
      <w:rFonts w:ascii="Times New Roman" w:hAnsi="Times New Roman" w:eastAsia="宋体" w:cs="Times New Roman"/>
      <w:kern w:val="2"/>
      <w:sz w:val="21"/>
      <w:szCs w:val="24"/>
      <w:lang w:val="en-US" w:eastAsia="zh-CN" w:bidi="ar-SA"/>
    </w:rPr>
  </w:style>
  <w:style w:type="paragraph" w:customStyle="1" w:styleId="24">
    <w:name w:val="表格前单位"/>
    <w:next w:val="3"/>
    <w:autoRedefine/>
    <w:qFormat/>
    <w:uiPriority w:val="0"/>
    <w:pPr>
      <w:keepNext/>
      <w:jc w:val="right"/>
    </w:pPr>
    <w:rPr>
      <w:rFonts w:ascii="Times New Roman" w:hAnsi="Times New Roman" w:eastAsia="宋体" w:cs="Times New Roman"/>
      <w:kern w:val="2"/>
      <w:sz w:val="21"/>
      <w:szCs w:val="24"/>
      <w:lang w:val="en-US" w:eastAsia="zh-CN" w:bidi="ar-SA"/>
    </w:rPr>
  </w:style>
  <w:style w:type="paragraph" w:customStyle="1" w:styleId="25">
    <w:name w:val="TOC 标题1"/>
    <w:basedOn w:val="2"/>
    <w:next w:val="1"/>
    <w:autoRedefine/>
    <w:qFormat/>
    <w:uiPriority w:val="0"/>
    <w:pPr>
      <w:pageBreakBefore w:val="0"/>
      <w:numPr>
        <w:numId w:val="0"/>
      </w:numPr>
      <w:snapToGrid w:val="0"/>
      <w:spacing w:before="240" w:beforeLines="0" w:after="0" w:afterLines="0" w:line="259" w:lineRule="auto"/>
      <w:outlineLvl w:val="9"/>
    </w:pPr>
    <w:rPr>
      <w:bCs w:val="0"/>
      <w:szCs w:val="32"/>
    </w:rPr>
  </w:style>
  <w:style w:type="paragraph" w:customStyle="1" w:styleId="26">
    <w:name w:val="修订1"/>
    <w:autoRedefine/>
    <w:qFormat/>
    <w:uiPriority w:val="0"/>
    <w:rPr>
      <w:rFonts w:ascii="Calibri" w:hAnsi="Calibri" w:eastAsia="宋体" w:cs="Arial"/>
      <w:kern w:val="2"/>
      <w:sz w:val="21"/>
      <w:szCs w:val="21"/>
      <w:lang w:val="en-US" w:eastAsia="zh-CN" w:bidi="ar-SA"/>
    </w:rPr>
  </w:style>
  <w:style w:type="paragraph" w:customStyle="1" w:styleId="27">
    <w:name w:val="Revision"/>
    <w:hidden/>
    <w:unhideWhenUsed/>
    <w:uiPriority w:val="99"/>
    <w:rPr>
      <w:rFonts w:ascii="Calibri" w:hAnsi="Calibri" w:eastAsia="宋体" w:cs="Arial"/>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977</Words>
  <Characters>1048</Characters>
  <Lines>36</Lines>
  <Paragraphs>10</Paragraphs>
  <TotalTime>26</TotalTime>
  <ScaleCrop>false</ScaleCrop>
  <LinksUpToDate>false</LinksUpToDate>
  <CharactersWithSpaces>1048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2025-07-15T15:00:00Z</dcterms:created>
  <dc:creator>lenovo</dc:creator>
  <cp:lastModifiedBy>陈义亮</cp:lastModifiedBy>
  <dcterms:modified xsi:type="dcterms:W3CDTF">2025-07-22T03:25:46Z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61BE43A355BC4AE787810F0E48731CF8_13</vt:lpwstr>
  </property>
  <property fmtid="{D5CDD505-2E9C-101B-9397-08002B2CF9AE}" pid="4" name="KSOTemplateDocerSaveRecord">
    <vt:lpwstr>eyJoZGlkIjoiYTEzM2MwZGQyM2MwNTc4N2M0NDU0MDNhNmJhOWZiNWQiLCJ1c2VySWQiOiI3MDY1NzA1MTEifQ==</vt:lpwstr>
  </property>
</Properties>
</file>